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FDA" w:rsidRPr="00535FDA" w:rsidRDefault="00535FDA" w:rsidP="00535FDA">
      <w:bookmarkStart w:id="0" w:name="_GoBack"/>
      <w:r w:rsidRPr="00535FDA">
        <w:rPr>
          <w:b/>
          <w:bCs/>
        </w:rPr>
        <w:t>Exercise 15.15 (Algorithmic)</w:t>
      </w:r>
      <w:r w:rsidRPr="00535FDA">
        <w:t> </w:t>
      </w:r>
      <w:r w:rsidRPr="00535FDA">
        <w:br/>
      </w:r>
      <w:proofErr w:type="spellStart"/>
      <w:r w:rsidRPr="00535FDA">
        <w:t>Interperiod</w:t>
      </w:r>
      <w:proofErr w:type="spellEnd"/>
      <w:r w:rsidRPr="00535FDA">
        <w:t xml:space="preserve"> Measurement of Productivity, Profit-Linked Measurement</w:t>
      </w:r>
    </w:p>
    <w:p w:rsidR="00535FDA" w:rsidRPr="00535FDA" w:rsidRDefault="00535FDA" w:rsidP="00535FDA">
      <w:r w:rsidRPr="00535FDA">
        <w:t>Helena Company needs to increase its profits and so has embarked on a program to increase its overall productivity. After one year of operation, Kent Olson, manager of the Columbus plant, reported the following results for the base period and its most recent year of operations:</w:t>
      </w:r>
    </w:p>
    <w:tbl>
      <w:tblPr>
        <w:tblW w:w="6000" w:type="dxa"/>
        <w:shd w:val="clear" w:color="auto" w:fill="FFFFFF"/>
        <w:tblCellMar>
          <w:left w:w="0" w:type="dxa"/>
          <w:right w:w="0" w:type="dxa"/>
        </w:tblCellMar>
        <w:tblLook w:val="04A0" w:firstRow="1" w:lastRow="0" w:firstColumn="1" w:lastColumn="0" w:noHBand="0" w:noVBand="1"/>
      </w:tblPr>
      <w:tblGrid>
        <w:gridCol w:w="3220"/>
        <w:gridCol w:w="1390"/>
        <w:gridCol w:w="1390"/>
      </w:tblGrid>
      <w:tr w:rsidR="00535FDA" w:rsidRPr="00535FDA" w:rsidTr="00535FDA">
        <w:tc>
          <w:tcPr>
            <w:tcW w:w="0" w:type="auto"/>
            <w:shd w:val="clear" w:color="auto" w:fill="FFFFFF"/>
            <w:hideMark/>
          </w:tcPr>
          <w:p w:rsidR="00535FDA" w:rsidRPr="00535FDA" w:rsidRDefault="00535FDA" w:rsidP="00535FDA"/>
        </w:tc>
        <w:tc>
          <w:tcPr>
            <w:tcW w:w="0" w:type="auto"/>
            <w:shd w:val="clear" w:color="auto" w:fill="FFFFFF"/>
            <w:hideMark/>
          </w:tcPr>
          <w:p w:rsidR="00535FDA" w:rsidRPr="00535FDA" w:rsidRDefault="00535FDA" w:rsidP="00535FDA">
            <w:r w:rsidRPr="00535FDA">
              <w:rPr>
                <w:b/>
                <w:bCs/>
              </w:rPr>
              <w:t>2014</w:t>
            </w:r>
          </w:p>
        </w:tc>
        <w:tc>
          <w:tcPr>
            <w:tcW w:w="0" w:type="auto"/>
            <w:shd w:val="clear" w:color="auto" w:fill="FFFFFF"/>
            <w:hideMark/>
          </w:tcPr>
          <w:p w:rsidR="00535FDA" w:rsidRPr="00535FDA" w:rsidRDefault="00535FDA" w:rsidP="00535FDA">
            <w:r w:rsidRPr="00535FDA">
              <w:rPr>
                <w:b/>
                <w:bCs/>
              </w:rPr>
              <w:t>2015</w:t>
            </w:r>
          </w:p>
        </w:tc>
      </w:tr>
      <w:tr w:rsidR="00535FDA" w:rsidRPr="00535FDA" w:rsidTr="00535FDA">
        <w:tc>
          <w:tcPr>
            <w:tcW w:w="0" w:type="auto"/>
            <w:shd w:val="clear" w:color="auto" w:fill="FFFFFF"/>
            <w:hideMark/>
          </w:tcPr>
          <w:p w:rsidR="00535FDA" w:rsidRPr="00535FDA" w:rsidRDefault="00535FDA" w:rsidP="00535FDA">
            <w:r w:rsidRPr="00535FDA">
              <w:t>Output</w:t>
            </w:r>
          </w:p>
        </w:tc>
        <w:tc>
          <w:tcPr>
            <w:tcW w:w="0" w:type="auto"/>
            <w:shd w:val="clear" w:color="auto" w:fill="FFFFFF"/>
            <w:hideMark/>
          </w:tcPr>
          <w:p w:rsidR="00535FDA" w:rsidRPr="00535FDA" w:rsidRDefault="00535FDA" w:rsidP="00535FDA">
            <w:r w:rsidRPr="00535FDA">
              <w:t>185,500     </w:t>
            </w:r>
          </w:p>
        </w:tc>
        <w:tc>
          <w:tcPr>
            <w:tcW w:w="0" w:type="auto"/>
            <w:shd w:val="clear" w:color="auto" w:fill="FFFFFF"/>
            <w:hideMark/>
          </w:tcPr>
          <w:p w:rsidR="00535FDA" w:rsidRPr="00535FDA" w:rsidRDefault="00535FDA" w:rsidP="00535FDA">
            <w:r w:rsidRPr="00535FDA">
              <w:t>216,600     </w:t>
            </w:r>
          </w:p>
        </w:tc>
      </w:tr>
      <w:tr w:rsidR="00535FDA" w:rsidRPr="00535FDA" w:rsidTr="00535FDA">
        <w:tc>
          <w:tcPr>
            <w:tcW w:w="0" w:type="auto"/>
            <w:shd w:val="clear" w:color="auto" w:fill="FFFFFF"/>
            <w:hideMark/>
          </w:tcPr>
          <w:p w:rsidR="00535FDA" w:rsidRPr="00535FDA" w:rsidRDefault="00535FDA" w:rsidP="00535FDA">
            <w:r w:rsidRPr="00535FDA">
              <w:t>Power (quantity used)</w:t>
            </w:r>
          </w:p>
        </w:tc>
        <w:tc>
          <w:tcPr>
            <w:tcW w:w="0" w:type="auto"/>
            <w:shd w:val="clear" w:color="auto" w:fill="FFFFFF"/>
            <w:hideMark/>
          </w:tcPr>
          <w:p w:rsidR="00535FDA" w:rsidRPr="00535FDA" w:rsidRDefault="00535FDA" w:rsidP="00535FDA">
            <w:r w:rsidRPr="00535FDA">
              <w:t>23,188     </w:t>
            </w:r>
          </w:p>
        </w:tc>
        <w:tc>
          <w:tcPr>
            <w:tcW w:w="0" w:type="auto"/>
            <w:shd w:val="clear" w:color="auto" w:fill="FFFFFF"/>
            <w:hideMark/>
          </w:tcPr>
          <w:p w:rsidR="00535FDA" w:rsidRPr="00535FDA" w:rsidRDefault="00535FDA" w:rsidP="00535FDA">
            <w:r w:rsidRPr="00535FDA">
              <w:t>10,800     </w:t>
            </w:r>
          </w:p>
        </w:tc>
      </w:tr>
      <w:tr w:rsidR="00535FDA" w:rsidRPr="00535FDA" w:rsidTr="00535FDA">
        <w:tc>
          <w:tcPr>
            <w:tcW w:w="0" w:type="auto"/>
            <w:shd w:val="clear" w:color="auto" w:fill="FFFFFF"/>
            <w:hideMark/>
          </w:tcPr>
          <w:p w:rsidR="00535FDA" w:rsidRPr="00535FDA" w:rsidRDefault="00535FDA" w:rsidP="00535FDA">
            <w:r w:rsidRPr="00535FDA">
              <w:t>Materials (quantity used)</w:t>
            </w:r>
          </w:p>
        </w:tc>
        <w:tc>
          <w:tcPr>
            <w:tcW w:w="0" w:type="auto"/>
            <w:shd w:val="clear" w:color="auto" w:fill="FFFFFF"/>
            <w:hideMark/>
          </w:tcPr>
          <w:p w:rsidR="00535FDA" w:rsidRPr="00535FDA" w:rsidRDefault="00535FDA" w:rsidP="00535FDA">
            <w:r w:rsidRPr="00535FDA">
              <w:t>37,100     </w:t>
            </w:r>
          </w:p>
        </w:tc>
        <w:tc>
          <w:tcPr>
            <w:tcW w:w="0" w:type="auto"/>
            <w:shd w:val="clear" w:color="auto" w:fill="FFFFFF"/>
            <w:hideMark/>
          </w:tcPr>
          <w:p w:rsidR="00535FDA" w:rsidRPr="00535FDA" w:rsidRDefault="00535FDA" w:rsidP="00535FDA">
            <w:r w:rsidRPr="00535FDA">
              <w:t>47,500     </w:t>
            </w:r>
          </w:p>
        </w:tc>
      </w:tr>
    </w:tbl>
    <w:p w:rsidR="00535FDA" w:rsidRPr="00535FDA" w:rsidRDefault="00535FDA" w:rsidP="00535FDA">
      <w:r w:rsidRPr="00535FDA">
        <w:t>Suppose the following input prices are provided for each year:</w:t>
      </w:r>
    </w:p>
    <w:tbl>
      <w:tblPr>
        <w:tblW w:w="6000" w:type="dxa"/>
        <w:shd w:val="clear" w:color="auto" w:fill="FFFFFF"/>
        <w:tblCellMar>
          <w:left w:w="0" w:type="dxa"/>
          <w:right w:w="0" w:type="dxa"/>
        </w:tblCellMar>
        <w:tblLook w:val="04A0" w:firstRow="1" w:lastRow="0" w:firstColumn="1" w:lastColumn="0" w:noHBand="0" w:noVBand="1"/>
      </w:tblPr>
      <w:tblGrid>
        <w:gridCol w:w="3406"/>
        <w:gridCol w:w="1297"/>
        <w:gridCol w:w="1297"/>
      </w:tblGrid>
      <w:tr w:rsidR="00535FDA" w:rsidRPr="00535FDA" w:rsidTr="00535FDA">
        <w:tc>
          <w:tcPr>
            <w:tcW w:w="0" w:type="auto"/>
            <w:shd w:val="clear" w:color="auto" w:fill="FFFFFF"/>
            <w:hideMark/>
          </w:tcPr>
          <w:p w:rsidR="00535FDA" w:rsidRPr="00535FDA" w:rsidRDefault="00535FDA" w:rsidP="00535FDA"/>
        </w:tc>
        <w:tc>
          <w:tcPr>
            <w:tcW w:w="0" w:type="auto"/>
            <w:shd w:val="clear" w:color="auto" w:fill="FFFFFF"/>
            <w:hideMark/>
          </w:tcPr>
          <w:p w:rsidR="00535FDA" w:rsidRPr="00535FDA" w:rsidRDefault="00535FDA" w:rsidP="00535FDA">
            <w:r w:rsidRPr="00535FDA">
              <w:rPr>
                <w:b/>
                <w:bCs/>
              </w:rPr>
              <w:t>2014</w:t>
            </w:r>
          </w:p>
        </w:tc>
        <w:tc>
          <w:tcPr>
            <w:tcW w:w="0" w:type="auto"/>
            <w:shd w:val="clear" w:color="auto" w:fill="FFFFFF"/>
            <w:hideMark/>
          </w:tcPr>
          <w:p w:rsidR="00535FDA" w:rsidRPr="00535FDA" w:rsidRDefault="00535FDA" w:rsidP="00535FDA">
            <w:r w:rsidRPr="00535FDA">
              <w:rPr>
                <w:b/>
                <w:bCs/>
              </w:rPr>
              <w:t>2015</w:t>
            </w:r>
          </w:p>
        </w:tc>
      </w:tr>
      <w:tr w:rsidR="00535FDA" w:rsidRPr="00535FDA" w:rsidTr="00535FDA">
        <w:tc>
          <w:tcPr>
            <w:tcW w:w="0" w:type="auto"/>
            <w:shd w:val="clear" w:color="auto" w:fill="FFFFFF"/>
            <w:hideMark/>
          </w:tcPr>
          <w:p w:rsidR="00535FDA" w:rsidRPr="00535FDA" w:rsidRDefault="00535FDA" w:rsidP="00535FDA">
            <w:r w:rsidRPr="00535FDA">
              <w:t>Unit price (power)</w:t>
            </w:r>
          </w:p>
        </w:tc>
        <w:tc>
          <w:tcPr>
            <w:tcW w:w="0" w:type="auto"/>
            <w:shd w:val="clear" w:color="auto" w:fill="FFFFFF"/>
            <w:hideMark/>
          </w:tcPr>
          <w:p w:rsidR="00535FDA" w:rsidRPr="00535FDA" w:rsidRDefault="00535FDA" w:rsidP="00535FDA">
            <w:r w:rsidRPr="00535FDA">
              <w:t>$ 2         </w:t>
            </w:r>
          </w:p>
        </w:tc>
        <w:tc>
          <w:tcPr>
            <w:tcW w:w="0" w:type="auto"/>
            <w:shd w:val="clear" w:color="auto" w:fill="FFFFFF"/>
            <w:hideMark/>
          </w:tcPr>
          <w:p w:rsidR="00535FDA" w:rsidRPr="00535FDA" w:rsidRDefault="00535FDA" w:rsidP="00535FDA">
            <w:r w:rsidRPr="00535FDA">
              <w:t>$ 3         </w:t>
            </w:r>
          </w:p>
        </w:tc>
      </w:tr>
      <w:tr w:rsidR="00535FDA" w:rsidRPr="00535FDA" w:rsidTr="00535FDA">
        <w:tc>
          <w:tcPr>
            <w:tcW w:w="0" w:type="auto"/>
            <w:shd w:val="clear" w:color="auto" w:fill="FFFFFF"/>
            <w:hideMark/>
          </w:tcPr>
          <w:p w:rsidR="00535FDA" w:rsidRPr="00535FDA" w:rsidRDefault="00535FDA" w:rsidP="00535FDA">
            <w:r w:rsidRPr="00535FDA">
              <w:t>Unit price (materials)</w:t>
            </w:r>
          </w:p>
        </w:tc>
        <w:tc>
          <w:tcPr>
            <w:tcW w:w="0" w:type="auto"/>
            <w:shd w:val="clear" w:color="auto" w:fill="FFFFFF"/>
            <w:hideMark/>
          </w:tcPr>
          <w:p w:rsidR="00535FDA" w:rsidRPr="00535FDA" w:rsidRDefault="00535FDA" w:rsidP="00535FDA">
            <w:r w:rsidRPr="00535FDA">
              <w:t>18         </w:t>
            </w:r>
          </w:p>
        </w:tc>
        <w:tc>
          <w:tcPr>
            <w:tcW w:w="0" w:type="auto"/>
            <w:shd w:val="clear" w:color="auto" w:fill="FFFFFF"/>
            <w:hideMark/>
          </w:tcPr>
          <w:p w:rsidR="00535FDA" w:rsidRPr="00535FDA" w:rsidRDefault="00535FDA" w:rsidP="00535FDA">
            <w:r w:rsidRPr="00535FDA">
              <w:t>17         </w:t>
            </w:r>
          </w:p>
        </w:tc>
      </w:tr>
      <w:tr w:rsidR="00535FDA" w:rsidRPr="00535FDA" w:rsidTr="00535FDA">
        <w:tc>
          <w:tcPr>
            <w:tcW w:w="0" w:type="auto"/>
            <w:shd w:val="clear" w:color="auto" w:fill="FFFFFF"/>
            <w:hideMark/>
          </w:tcPr>
          <w:p w:rsidR="00535FDA" w:rsidRPr="00535FDA" w:rsidRDefault="00535FDA" w:rsidP="00535FDA">
            <w:r w:rsidRPr="00535FDA">
              <w:t>Unit selling price</w:t>
            </w:r>
          </w:p>
        </w:tc>
        <w:tc>
          <w:tcPr>
            <w:tcW w:w="0" w:type="auto"/>
            <w:shd w:val="clear" w:color="auto" w:fill="FFFFFF"/>
            <w:hideMark/>
          </w:tcPr>
          <w:p w:rsidR="00535FDA" w:rsidRPr="00535FDA" w:rsidRDefault="00535FDA" w:rsidP="00535FDA">
            <w:r w:rsidRPr="00535FDA">
              <w:t>10         </w:t>
            </w:r>
          </w:p>
        </w:tc>
        <w:tc>
          <w:tcPr>
            <w:tcW w:w="0" w:type="auto"/>
            <w:shd w:val="clear" w:color="auto" w:fill="FFFFFF"/>
            <w:hideMark/>
          </w:tcPr>
          <w:p w:rsidR="00535FDA" w:rsidRPr="00535FDA" w:rsidRDefault="00535FDA" w:rsidP="00535FDA">
            <w:r w:rsidRPr="00535FDA">
              <w:t>12         </w:t>
            </w:r>
          </w:p>
        </w:tc>
      </w:tr>
    </w:tbl>
    <w:p w:rsidR="00535FDA" w:rsidRPr="00535FDA" w:rsidRDefault="00535FDA" w:rsidP="00535FDA">
      <w:r w:rsidRPr="00535FDA">
        <w:rPr>
          <w:b/>
          <w:bCs/>
        </w:rPr>
        <w:t>Required:</w:t>
      </w:r>
    </w:p>
    <w:p w:rsidR="00535FDA" w:rsidRPr="00535FDA" w:rsidRDefault="00535FDA" w:rsidP="00535FDA">
      <w:r w:rsidRPr="00535FDA">
        <w:rPr>
          <w:b/>
          <w:bCs/>
        </w:rPr>
        <w:t>1. </w:t>
      </w:r>
      <w:r w:rsidRPr="00535FDA">
        <w:t>Compute the profit-linked productivity measure. By how much did profits increase due to productivity?</w:t>
      </w:r>
      <w:r w:rsidRPr="00535FDA">
        <w:br/>
        <w:t>$</w:t>
      </w:r>
      <w:r w:rsidRPr="00535FDA">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9.5pt;height:18pt" o:ole="">
            <v:imagedata r:id="rId4" o:title=""/>
          </v:shape>
          <w:control r:id="rId5" w:name="DefaultOcxName" w:shapeid="_x0000_i1031"/>
        </w:object>
      </w:r>
      <w:r w:rsidRPr="00535FDA">
        <w:t> </w:t>
      </w:r>
    </w:p>
    <w:p w:rsidR="00535FDA" w:rsidRPr="00535FDA" w:rsidRDefault="00535FDA" w:rsidP="00535FDA">
      <w:r w:rsidRPr="00535FDA">
        <w:rPr>
          <w:b/>
          <w:bCs/>
        </w:rPr>
        <w:t>2. </w:t>
      </w:r>
      <w:r w:rsidRPr="00535FDA">
        <w:t>Calculate the price-recovery component for 2015.</w:t>
      </w:r>
      <w:r w:rsidRPr="00535FDA">
        <w:br/>
        <w:t>$</w:t>
      </w:r>
      <w:r w:rsidRPr="00535FDA">
        <w:object w:dxaOrig="1440" w:dyaOrig="1440">
          <v:shape id="_x0000_i1032" type="#_x0000_t75" style="width:49.5pt;height:18pt" o:ole="">
            <v:imagedata r:id="rId4" o:title=""/>
          </v:shape>
          <w:control r:id="rId6" w:name="DefaultOcxName1" w:shapeid="_x0000_i1032"/>
        </w:object>
      </w:r>
      <w:r w:rsidRPr="00535FDA">
        <w:t> </w:t>
      </w:r>
    </w:p>
    <w:bookmarkEnd w:id="0"/>
    <w:p w:rsidR="00B34102" w:rsidRDefault="00B34102"/>
    <w:sectPr w:rsidR="00B341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FDA"/>
    <w:rsid w:val="00535FDA"/>
    <w:rsid w:val="00B34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177C4C-89D9-4C85-8A34-054524F9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094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ntrol" Target="activeX/activeX2.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Jean</cp:lastModifiedBy>
  <cp:revision>1</cp:revision>
  <dcterms:created xsi:type="dcterms:W3CDTF">2017-04-18T13:44:00Z</dcterms:created>
  <dcterms:modified xsi:type="dcterms:W3CDTF">2017-04-18T13:46:00Z</dcterms:modified>
</cp:coreProperties>
</file>